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D-04.04.00 PODBUDOWA Z KRUSZYW WYMAGANIA OGÓLNE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1. WSTĘP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1.1. Przedmiot SST</w:t>
      </w:r>
    </w:p>
    <w:p w:rsidR="00E85871" w:rsidRPr="008E77A1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Przedmiotem niniejszej szczegółowej specyfikacji technicznej (SST) są wymagania ogólne dotyczące wykonania i odbioru robót związanych z</w:t>
      </w:r>
      <w:r w:rsidR="008E77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8E77A1">
        <w:rPr>
          <w:rFonts w:ascii="Arial" w:hAnsi="Arial" w:cs="Arial"/>
          <w:sz w:val="16"/>
          <w:szCs w:val="16"/>
        </w:rPr>
        <w:t>wykonywaniem podbudowy z kruszyw stabilizowanych mechanicznie w związku z Przebudową ulicy Studziennej</w:t>
      </w:r>
      <w:r w:rsidR="008E77A1">
        <w:rPr>
          <w:rFonts w:ascii="Arial" w:hAnsi="Arial" w:cs="Arial"/>
          <w:sz w:val="16"/>
          <w:szCs w:val="16"/>
        </w:rPr>
        <w:t>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1.2. Zakres stosowania SST</w:t>
      </w:r>
    </w:p>
    <w:p w:rsidR="00E85871" w:rsidRPr="008E77A1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E77A1">
        <w:rPr>
          <w:rFonts w:ascii="Arial" w:hAnsi="Arial" w:cs="Arial"/>
          <w:sz w:val="16"/>
          <w:szCs w:val="16"/>
        </w:rPr>
        <w:t>Szczegółowa specyfikacja techniczna stanowi dokument przetargowy i kontraktowy przy zlecaniu i realizacji robót w związku z Przebudową ulicy Studziennej.</w:t>
      </w:r>
      <w:r w:rsidRPr="008E77A1">
        <w:rPr>
          <w:rFonts w:ascii="Arial" w:hAnsi="Arial" w:cs="Arial"/>
          <w:b/>
          <w:bCs/>
          <w:sz w:val="16"/>
          <w:szCs w:val="16"/>
        </w:rPr>
        <w:t>”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1.3. Zakres robót objętych SST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Ustalenia zawarte w niniejszej specyfikacji dotyczą zasad prowadzenia robót związanych z wykonywaniem podbudów z kruszyw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stabilizowanych mechanicznie wg PN-S-06102 [21] i obejmują SST: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D-04.04.02 Podbudowa z kruszywa łamanego stabilizowanego mechanicznie,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Podbudowę z kruszyw stabilizowanych mechanicznie wykonuje się, zgodnie z ustaleniami podanymi w dokumentacji projektowej, jako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podbudowę pomocniczą i podbudowę zasadniczą wg Katalogu typowych konstrukcji nawierzchni podatnych i półsztywnych [31].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1.4. Określenia podstawowe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1.4.1. </w:t>
      </w:r>
      <w:r w:rsidRPr="00B8514C">
        <w:rPr>
          <w:rFonts w:ascii="Arial" w:hAnsi="Arial" w:cs="Arial"/>
          <w:color w:val="000000"/>
          <w:sz w:val="16"/>
          <w:szCs w:val="16"/>
        </w:rPr>
        <w:t>Stabilizacja mechaniczna - proces technologiczny, polegający na odpowiednim zagęszczeniu w optymalnej wilgotności kruszywa o właściwie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dobranym uziarnieniu.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1.4.2. </w:t>
      </w:r>
      <w:r w:rsidRPr="00B8514C">
        <w:rPr>
          <w:rFonts w:ascii="Arial" w:hAnsi="Arial" w:cs="Arial"/>
          <w:color w:val="000000"/>
          <w:sz w:val="16"/>
          <w:szCs w:val="16"/>
        </w:rPr>
        <w:t>Pozostałe określenia podstawowe są zgodne z obowiązującymi, odpowiednimi polskimi normami oraz z definicjami podanymi w SST D-M-00.00.00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„Wymagania ogólne”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1.4 oraz w SST dotyczących poszczególnych rodzajów podbudów z kruszyw stabilizowanych mechanicznie: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D-04.04.02 Podbudowa z kruszywa łamanego stabilizowanego mechanicznie,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1.5. Ogólne wymagania dotyczące robót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Ogólne wymagania dotyczące robót podano w SST D-M-00.00.00 „Wymagania ogólne”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1.5.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2. MATERIAŁY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2.1. Ogólne wymagania dotyczące materiałów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Ogólne wymagania dotyczące materiałów, ich pozyskiwania i składowania, podano w SST D-M-00.00.00 „Wymagania ogólne”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2.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2.2. Rodzaje materiałów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Materiały stosowane do wykonania podbudów z kruszyw stabilizowanych mechanicznie podano w SST dotyczących poszczególnych rodzajów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podbudów: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D-04.04.01 Podbudowa z kruszywa naturalnego stabilizowanego mechanicznie,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D-04.04.02 Podbudowa z kruszywa łamanego stabilizowanego mechanicznie,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D-04.04.03 Podbudowa z żużla wielkopiecowego stabilizowanego mechanicznie.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2.3. Wymagania dla materiałów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2.3.1. </w:t>
      </w:r>
      <w:r w:rsidRPr="00B8514C">
        <w:rPr>
          <w:rFonts w:ascii="Arial" w:hAnsi="Arial" w:cs="Arial"/>
          <w:color w:val="000000"/>
          <w:sz w:val="16"/>
          <w:szCs w:val="16"/>
        </w:rPr>
        <w:t>Uziarnienie kruszywa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Krzywa uziarnienia kruszywa, określona według PN-B-06714-15 [3] powinna leżeć między krzywymi granicznymi pól dobrego uziarnienia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podanymi na rysunku 1.</w:t>
      </w:r>
    </w:p>
    <w:p w:rsidR="00E85871" w:rsidRDefault="009752CB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669925</wp:posOffset>
            </wp:positionH>
            <wp:positionV relativeFrom="paragraph">
              <wp:posOffset>338455</wp:posOffset>
            </wp:positionV>
            <wp:extent cx="4711065" cy="312356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312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871" w:rsidRPr="00B8514C">
        <w:rPr>
          <w:rFonts w:ascii="Arial" w:hAnsi="Arial" w:cs="Arial"/>
          <w:color w:val="000000"/>
          <w:sz w:val="16"/>
          <w:szCs w:val="16"/>
        </w:rPr>
        <w:t>Rysunek 1. Pole dobrego uziarnienia kruszyw przeznaczonych na podbudowy</w:t>
      </w:r>
      <w:r w:rsidR="008E77A1">
        <w:rPr>
          <w:rFonts w:ascii="Arial" w:hAnsi="Arial" w:cs="Arial"/>
          <w:color w:val="000000"/>
          <w:sz w:val="16"/>
          <w:szCs w:val="16"/>
        </w:rPr>
        <w:t xml:space="preserve"> </w:t>
      </w:r>
      <w:r w:rsidR="00E85871" w:rsidRPr="00B8514C">
        <w:rPr>
          <w:rFonts w:ascii="Arial" w:hAnsi="Arial" w:cs="Arial"/>
          <w:color w:val="000000"/>
          <w:sz w:val="16"/>
          <w:szCs w:val="16"/>
        </w:rPr>
        <w:t>wykonywane metodą stabilizacji mechanicznej</w:t>
      </w:r>
    </w:p>
    <w:p w:rsidR="008E77A1" w:rsidRPr="00B8514C" w:rsidRDefault="008E77A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1-2 kruszywo na podbudowę zasadniczą (górną warstwę) lub podbudowę jednowarstwową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1-3 kruszywo na podbudowę pomocniczą (dolną warstwę)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Krzywa uziarnienia kruszywa powinna być ciągła i nie może przebiegać od dolnej krzywej granicznej uziarnienia do górnej krzywej granicznej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uziarnienia na sąsiednich sitach. Wymiar największego ziarna kruszywa nie może przekraczać 2/3 grubości warstwy układanej jednorazowo.</w:t>
      </w:r>
    </w:p>
    <w:p w:rsidR="00E85871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2.3.2. </w:t>
      </w:r>
      <w:r w:rsidRPr="00B8514C">
        <w:rPr>
          <w:rFonts w:ascii="Arial" w:hAnsi="Arial" w:cs="Arial"/>
          <w:color w:val="000000"/>
          <w:sz w:val="16"/>
          <w:szCs w:val="16"/>
        </w:rPr>
        <w:t>Właściwości kruszywa</w:t>
      </w:r>
    </w:p>
    <w:p w:rsidR="00C85983" w:rsidRDefault="00C8598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Kruszywa powinny spełniać wymagania określone w tablicy 1.</w:t>
      </w:r>
    </w:p>
    <w:p w:rsidR="00C85983" w:rsidRDefault="00C8598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752CB" w:rsidRDefault="00C8598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  <w:t>Tablica 1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851"/>
        <w:gridCol w:w="992"/>
        <w:gridCol w:w="851"/>
        <w:gridCol w:w="850"/>
        <w:gridCol w:w="851"/>
        <w:gridCol w:w="850"/>
        <w:gridCol w:w="1276"/>
      </w:tblGrid>
      <w:tr w:rsidR="009C4999" w:rsidRPr="009752CB" w:rsidTr="003922A3">
        <w:trPr>
          <w:trHeight w:val="31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noWrap/>
          </w:tcPr>
          <w:p w:rsidR="009C4999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4999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2CB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999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4999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4999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2CB">
              <w:rPr>
                <w:rFonts w:ascii="Arial" w:hAnsi="Arial" w:cs="Arial"/>
                <w:sz w:val="16"/>
                <w:szCs w:val="16"/>
              </w:rPr>
              <w:t xml:space="preserve">Wyszczególnienie </w:t>
            </w:r>
          </w:p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2CB">
              <w:rPr>
                <w:rFonts w:ascii="Arial" w:hAnsi="Arial" w:cs="Arial"/>
                <w:sz w:val="16"/>
                <w:szCs w:val="16"/>
              </w:rPr>
              <w:t>właściwości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2CB">
              <w:rPr>
                <w:rFonts w:ascii="Arial" w:hAnsi="Arial" w:cs="Arial"/>
                <w:sz w:val="16"/>
                <w:szCs w:val="16"/>
              </w:rPr>
              <w:t>Wymagania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C4999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4999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2CB">
              <w:rPr>
                <w:rFonts w:ascii="Arial" w:hAnsi="Arial" w:cs="Arial"/>
                <w:sz w:val="16"/>
                <w:szCs w:val="16"/>
              </w:rPr>
              <w:t>Badania według</w:t>
            </w:r>
          </w:p>
        </w:tc>
      </w:tr>
      <w:tr w:rsidR="009C4999" w:rsidRPr="009752CB" w:rsidTr="003922A3">
        <w:trPr>
          <w:trHeight w:val="532"/>
        </w:trPr>
        <w:tc>
          <w:tcPr>
            <w:tcW w:w="496" w:type="dxa"/>
            <w:vMerge/>
            <w:tcBorders>
              <w:left w:val="single" w:sz="4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Kruszywa naturalne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Kruszywa łamane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Żużel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99" w:rsidRPr="009752CB" w:rsidTr="003922A3">
        <w:trPr>
          <w:trHeight w:val="532"/>
        </w:trPr>
        <w:tc>
          <w:tcPr>
            <w:tcW w:w="496" w:type="dxa"/>
            <w:vMerge/>
            <w:tcBorders>
              <w:left w:val="single" w:sz="4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Podbudowa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99" w:rsidRPr="009752CB" w:rsidTr="003922A3">
        <w:trPr>
          <w:trHeight w:val="50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9C4999" w:rsidRPr="009C4999" w:rsidRDefault="009C4999" w:rsidP="009C4999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9C4999">
              <w:rPr>
                <w:rFonts w:ascii="Arial" w:hAnsi="Arial" w:cs="Arial"/>
                <w:sz w:val="16"/>
              </w:rPr>
              <w:t xml:space="preserve">zasad- </w:t>
            </w:r>
            <w:proofErr w:type="spellStart"/>
            <w:r w:rsidRPr="009C4999">
              <w:rPr>
                <w:rFonts w:ascii="Arial" w:hAnsi="Arial" w:cs="Arial"/>
                <w:sz w:val="16"/>
              </w:rPr>
              <w:t>nicza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999" w:rsidRPr="009C4999" w:rsidRDefault="009C4999" w:rsidP="009C4999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9C4999">
              <w:rPr>
                <w:rFonts w:ascii="Arial" w:hAnsi="Arial" w:cs="Arial"/>
                <w:sz w:val="16"/>
              </w:rPr>
              <w:t xml:space="preserve">pomoc- </w:t>
            </w:r>
            <w:proofErr w:type="spellStart"/>
            <w:r w:rsidRPr="009C4999">
              <w:rPr>
                <w:rFonts w:ascii="Arial" w:hAnsi="Arial" w:cs="Arial"/>
                <w:sz w:val="16"/>
              </w:rPr>
              <w:t>nicza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999" w:rsidRPr="009C4999" w:rsidRDefault="009C4999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9C4999">
              <w:rPr>
                <w:rFonts w:ascii="Arial" w:hAnsi="Arial" w:cs="Arial"/>
                <w:sz w:val="16"/>
              </w:rPr>
              <w:t xml:space="preserve">zasad- </w:t>
            </w:r>
            <w:proofErr w:type="spellStart"/>
            <w:r w:rsidRPr="009C4999">
              <w:rPr>
                <w:rFonts w:ascii="Arial" w:hAnsi="Arial" w:cs="Arial"/>
                <w:sz w:val="16"/>
              </w:rPr>
              <w:t>nicza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999" w:rsidRPr="009C4999" w:rsidRDefault="009C4999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9C4999">
              <w:rPr>
                <w:rFonts w:ascii="Arial" w:hAnsi="Arial" w:cs="Arial"/>
                <w:sz w:val="16"/>
              </w:rPr>
              <w:t xml:space="preserve">pomoc- </w:t>
            </w:r>
            <w:proofErr w:type="spellStart"/>
            <w:r w:rsidRPr="009C4999">
              <w:rPr>
                <w:rFonts w:ascii="Arial" w:hAnsi="Arial" w:cs="Arial"/>
                <w:sz w:val="16"/>
              </w:rPr>
              <w:t>nicza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999" w:rsidRPr="009C4999" w:rsidRDefault="009C4999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9C4999">
              <w:rPr>
                <w:rFonts w:ascii="Arial" w:hAnsi="Arial" w:cs="Arial"/>
                <w:sz w:val="16"/>
              </w:rPr>
              <w:t xml:space="preserve">zasad- </w:t>
            </w:r>
            <w:proofErr w:type="spellStart"/>
            <w:r w:rsidRPr="009C4999">
              <w:rPr>
                <w:rFonts w:ascii="Arial" w:hAnsi="Arial" w:cs="Arial"/>
                <w:sz w:val="16"/>
              </w:rPr>
              <w:t>nicza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999" w:rsidRPr="009C4999" w:rsidRDefault="009C4999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9C4999">
              <w:rPr>
                <w:rFonts w:ascii="Arial" w:hAnsi="Arial" w:cs="Arial"/>
                <w:sz w:val="16"/>
              </w:rPr>
              <w:t xml:space="preserve">pomoc- </w:t>
            </w:r>
            <w:proofErr w:type="spellStart"/>
            <w:r w:rsidRPr="009C4999">
              <w:rPr>
                <w:rFonts w:ascii="Arial" w:hAnsi="Arial" w:cs="Arial"/>
                <w:sz w:val="16"/>
              </w:rPr>
              <w:t>nicza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4999" w:rsidRPr="009C4999" w:rsidRDefault="009C4999" w:rsidP="009C4999">
            <w:pPr>
              <w:pStyle w:val="Bezodstpw"/>
              <w:rPr>
                <w:rFonts w:ascii="Arial" w:hAnsi="Arial" w:cs="Arial"/>
                <w:sz w:val="16"/>
              </w:rPr>
            </w:pPr>
          </w:p>
        </w:tc>
      </w:tr>
      <w:tr w:rsidR="003922A3" w:rsidRPr="009752CB" w:rsidTr="00634E9E">
        <w:trPr>
          <w:trHeight w:val="5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922A3" w:rsidRPr="009752CB" w:rsidRDefault="003922A3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2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922A3" w:rsidRPr="009752CB" w:rsidRDefault="003922A3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 xml:space="preserve">Zawartość </w:t>
            </w:r>
            <w:proofErr w:type="spellStart"/>
            <w:r w:rsidRPr="009752CB">
              <w:rPr>
                <w:rFonts w:ascii="Arial" w:hAnsi="Arial" w:cs="Arial"/>
                <w:sz w:val="16"/>
              </w:rPr>
              <w:t>ziarn</w:t>
            </w:r>
            <w:proofErr w:type="spellEnd"/>
            <w:r w:rsidRPr="009752CB">
              <w:rPr>
                <w:rFonts w:ascii="Arial" w:hAnsi="Arial" w:cs="Arial"/>
                <w:sz w:val="16"/>
              </w:rPr>
              <w:t xml:space="preserve"> mniejszych niż 0,075 mm, % (m/m)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922A3" w:rsidRDefault="003922A3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2</w:t>
            </w:r>
          </w:p>
          <w:p w:rsidR="003922A3" w:rsidRPr="009C4999" w:rsidRDefault="003922A3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2A3" w:rsidRDefault="003922A3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2</w:t>
            </w:r>
          </w:p>
          <w:p w:rsidR="003922A3" w:rsidRPr="009C4999" w:rsidRDefault="003922A3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2A3" w:rsidRDefault="003922A3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2</w:t>
            </w:r>
          </w:p>
          <w:p w:rsidR="003922A3" w:rsidRPr="009C4999" w:rsidRDefault="003922A3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2A3" w:rsidRDefault="003922A3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2</w:t>
            </w:r>
          </w:p>
          <w:p w:rsidR="003922A3" w:rsidRPr="009C4999" w:rsidRDefault="003922A3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2A3" w:rsidRDefault="003922A3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2</w:t>
            </w:r>
          </w:p>
          <w:p w:rsidR="003922A3" w:rsidRPr="009C4999" w:rsidRDefault="003922A3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2A3" w:rsidRDefault="003922A3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2</w:t>
            </w:r>
          </w:p>
          <w:p w:rsidR="003922A3" w:rsidRPr="009C4999" w:rsidRDefault="003922A3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2A3" w:rsidRPr="009C4999" w:rsidRDefault="003922A3" w:rsidP="009C4999">
            <w:pPr>
              <w:pStyle w:val="Bezodstpw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PN-B-06714-15 </w:t>
            </w:r>
          </w:p>
        </w:tc>
      </w:tr>
      <w:tr w:rsidR="009C4999" w:rsidRPr="009752CB" w:rsidTr="00634E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2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>Zawartość nadziarna, % (m/m), nie więcej niż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9C4999" w:rsidRPr="009C4999" w:rsidRDefault="009C4999" w:rsidP="009C4999">
            <w:pPr>
              <w:pStyle w:val="Bezodstpw"/>
              <w:rPr>
                <w:rFonts w:ascii="Arial" w:hAnsi="Arial" w:cs="Arial"/>
                <w:sz w:val="16"/>
              </w:rPr>
            </w:pPr>
            <w:r w:rsidRPr="009C4999">
              <w:rPr>
                <w:rFonts w:ascii="Arial" w:hAnsi="Arial" w:cs="Arial"/>
                <w:sz w:val="16"/>
              </w:rPr>
              <w:t>PN-</w:t>
            </w:r>
            <w:r w:rsidR="003922A3">
              <w:rPr>
                <w:rFonts w:ascii="Arial" w:hAnsi="Arial" w:cs="Arial"/>
                <w:sz w:val="16"/>
              </w:rPr>
              <w:t>B-06714-15</w:t>
            </w:r>
          </w:p>
        </w:tc>
      </w:tr>
      <w:tr w:rsidR="009C4999" w:rsidRPr="009752CB" w:rsidTr="00634E9E"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2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 xml:space="preserve">Zawartość </w:t>
            </w:r>
            <w:proofErr w:type="spellStart"/>
            <w:r w:rsidRPr="009752CB">
              <w:rPr>
                <w:rFonts w:ascii="Arial" w:hAnsi="Arial" w:cs="Arial"/>
                <w:sz w:val="16"/>
              </w:rPr>
              <w:t>ziarn</w:t>
            </w:r>
            <w:proofErr w:type="spellEnd"/>
            <w:r w:rsidRPr="009752CB">
              <w:rPr>
                <w:rFonts w:ascii="Arial" w:hAnsi="Arial" w:cs="Arial"/>
                <w:sz w:val="16"/>
              </w:rPr>
              <w:t xml:space="preserve"> nieforemnych % (m/m), nie więcej niż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9C4999" w:rsidRPr="009C4999" w:rsidRDefault="003922A3" w:rsidP="009C4999">
            <w:pPr>
              <w:pStyle w:val="Bezodstpw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PN-B-06714-16</w:t>
            </w:r>
          </w:p>
        </w:tc>
      </w:tr>
      <w:tr w:rsidR="009C4999" w:rsidRPr="009752CB" w:rsidTr="00634E9E">
        <w:trPr>
          <w:trHeight w:val="386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2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>Zawartość zanieczyszczeń organicznych, % (m/m), nie więcej niż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9C4999" w:rsidRPr="009C4999" w:rsidRDefault="003922A3" w:rsidP="009C4999">
            <w:pPr>
              <w:pStyle w:val="Bezodstpw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PN-B-04481</w:t>
            </w:r>
          </w:p>
        </w:tc>
      </w:tr>
      <w:tr w:rsidR="00634E9E" w:rsidRPr="009752CB" w:rsidTr="00634E9E"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4E9E" w:rsidRPr="009752CB" w:rsidRDefault="00634E9E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2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34E9E" w:rsidRPr="009752CB" w:rsidRDefault="00634E9E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>Wskaźnik piaskowy po pięciokrotnym zagęszczeniu metodą I lub II wg PN-88/B-04481,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 30</w:t>
            </w:r>
          </w:p>
          <w:p w:rsidR="00634E9E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 30</w:t>
            </w:r>
          </w:p>
          <w:p w:rsidR="00634E9E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 30</w:t>
            </w:r>
          </w:p>
          <w:p w:rsidR="00634E9E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 30</w:t>
            </w:r>
          </w:p>
          <w:p w:rsidR="00634E9E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9E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E9E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34E9E" w:rsidRPr="009C4999" w:rsidRDefault="00634E9E" w:rsidP="009C4999">
            <w:pPr>
              <w:pStyle w:val="Bezodstpw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  <w:t>BN-64/8931-01</w:t>
            </w:r>
          </w:p>
        </w:tc>
      </w:tr>
      <w:tr w:rsidR="009C4999" w:rsidRPr="009752CB" w:rsidTr="00634E9E"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2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>Ścieralność w bębnie Los Angeles</w:t>
            </w:r>
          </w:p>
          <w:p w:rsidR="009C4999" w:rsidRPr="009752CB" w:rsidRDefault="009C4999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>a) ścieralność całkowita po pełnej liczbie obrotów, nie więcej niż</w:t>
            </w:r>
          </w:p>
          <w:p w:rsidR="009C4999" w:rsidRPr="009752CB" w:rsidRDefault="009C4999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>b) ścieralność częściowa po 1/5 pełnej liczby obrotów w stosunku do straty masy po pełnej liczbie obrotów, nie więcej niż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983" w:rsidRDefault="00C85983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  <w:p w:rsidR="00634E9E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9C4999" w:rsidRPr="009C4999" w:rsidRDefault="009C4999" w:rsidP="009C4999">
            <w:pPr>
              <w:pStyle w:val="Bezodstpw"/>
              <w:rPr>
                <w:rFonts w:ascii="Arial" w:hAnsi="Arial" w:cs="Arial"/>
                <w:sz w:val="16"/>
              </w:rPr>
            </w:pPr>
          </w:p>
          <w:p w:rsidR="009C4999" w:rsidRPr="009C4999" w:rsidRDefault="009C4999" w:rsidP="009C4999">
            <w:pPr>
              <w:pStyle w:val="Bezodstpw"/>
              <w:rPr>
                <w:rFonts w:ascii="Arial" w:hAnsi="Arial" w:cs="Arial"/>
                <w:sz w:val="16"/>
              </w:rPr>
            </w:pPr>
            <w:r w:rsidRPr="009C4999">
              <w:rPr>
                <w:rFonts w:ascii="Arial" w:hAnsi="Arial" w:cs="Arial"/>
                <w:sz w:val="16"/>
              </w:rPr>
              <w:br/>
            </w:r>
          </w:p>
          <w:p w:rsidR="009C4999" w:rsidRPr="009C4999" w:rsidRDefault="009C4999" w:rsidP="009C4999">
            <w:pPr>
              <w:pStyle w:val="Bezodstpw"/>
              <w:rPr>
                <w:rFonts w:ascii="Arial" w:hAnsi="Arial" w:cs="Arial"/>
                <w:sz w:val="16"/>
              </w:rPr>
            </w:pPr>
            <w:r w:rsidRPr="009C4999">
              <w:rPr>
                <w:rFonts w:ascii="Arial" w:hAnsi="Arial" w:cs="Arial"/>
                <w:sz w:val="16"/>
              </w:rPr>
              <w:t>P</w:t>
            </w:r>
            <w:r w:rsidR="003922A3">
              <w:rPr>
                <w:rFonts w:ascii="Arial" w:hAnsi="Arial" w:cs="Arial"/>
                <w:sz w:val="16"/>
              </w:rPr>
              <w:t>N-B-06714-42</w:t>
            </w:r>
          </w:p>
        </w:tc>
      </w:tr>
      <w:tr w:rsidR="009C4999" w:rsidRPr="009752CB" w:rsidTr="00634E9E"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2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>Nasiąkliwość, % (m/m), nie więcej niż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9C4999" w:rsidRPr="009C4999" w:rsidRDefault="009C4999" w:rsidP="003922A3">
            <w:pPr>
              <w:pStyle w:val="Bezodstpw"/>
              <w:rPr>
                <w:rFonts w:ascii="Arial" w:hAnsi="Arial" w:cs="Arial"/>
                <w:sz w:val="16"/>
              </w:rPr>
            </w:pPr>
            <w:r w:rsidRPr="009C4999">
              <w:rPr>
                <w:rFonts w:ascii="Arial" w:hAnsi="Arial" w:cs="Arial"/>
                <w:sz w:val="16"/>
              </w:rPr>
              <w:t>PN-</w:t>
            </w:r>
            <w:r w:rsidR="003922A3">
              <w:rPr>
                <w:rFonts w:ascii="Arial" w:hAnsi="Arial" w:cs="Arial"/>
                <w:sz w:val="16"/>
              </w:rPr>
              <w:t>B-06714-18</w:t>
            </w:r>
          </w:p>
        </w:tc>
      </w:tr>
      <w:tr w:rsidR="009C4999" w:rsidRPr="009752CB" w:rsidTr="00634E9E"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2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 xml:space="preserve">Mrozoodporność, ubytek masy po 25 cyklach zamrażania, %(m/m), </w:t>
            </w:r>
            <w:r w:rsidRPr="009752CB">
              <w:rPr>
                <w:rFonts w:ascii="Arial" w:hAnsi="Arial" w:cs="Arial"/>
                <w:sz w:val="16"/>
              </w:rPr>
              <w:br/>
              <w:t>nie więcej niż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9C4999" w:rsidRPr="009C4999" w:rsidRDefault="009C4999" w:rsidP="003922A3">
            <w:pPr>
              <w:pStyle w:val="Bezodstpw"/>
              <w:rPr>
                <w:rFonts w:ascii="Arial" w:hAnsi="Arial" w:cs="Arial"/>
                <w:sz w:val="16"/>
              </w:rPr>
            </w:pPr>
            <w:r w:rsidRPr="009C4999">
              <w:rPr>
                <w:rFonts w:ascii="Arial" w:hAnsi="Arial" w:cs="Arial"/>
                <w:sz w:val="16"/>
              </w:rPr>
              <w:br/>
              <w:t>PN-</w:t>
            </w:r>
            <w:r w:rsidR="003922A3">
              <w:rPr>
                <w:rFonts w:ascii="Arial" w:hAnsi="Arial" w:cs="Arial"/>
                <w:sz w:val="16"/>
              </w:rPr>
              <w:t>B-06714-19</w:t>
            </w:r>
          </w:p>
        </w:tc>
      </w:tr>
      <w:tr w:rsidR="009C4999" w:rsidRPr="009752CB" w:rsidTr="00634E9E"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9752CB">
            <w:pPr>
              <w:pStyle w:val="Bezodstpw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Rozpad krzemianowy i żelazowy łącznie, % (m/m), nie więcej niż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922A3" w:rsidRDefault="003922A3" w:rsidP="009C4999">
            <w:pPr>
              <w:pStyle w:val="Bezodstpw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PN-B-06714-37</w:t>
            </w:r>
          </w:p>
          <w:p w:rsidR="003922A3" w:rsidRPr="009C4999" w:rsidRDefault="003922A3" w:rsidP="009C4999">
            <w:pPr>
              <w:pStyle w:val="Bezodstpw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PN-B-06714-39</w:t>
            </w:r>
          </w:p>
        </w:tc>
      </w:tr>
      <w:tr w:rsidR="009C4999" w:rsidRPr="009752CB" w:rsidTr="00634E9E"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>Zawartość związków siarki w przeliczeniu na SO</w:t>
            </w:r>
            <w:r w:rsidRPr="009752CB">
              <w:rPr>
                <w:rFonts w:ascii="Arial" w:hAnsi="Arial" w:cs="Arial"/>
                <w:sz w:val="16"/>
                <w:vertAlign w:val="subscript"/>
              </w:rPr>
              <w:t>3</w:t>
            </w:r>
            <w:r w:rsidRPr="009752CB">
              <w:rPr>
                <w:rFonts w:ascii="Arial" w:hAnsi="Arial" w:cs="Arial"/>
                <w:sz w:val="16"/>
              </w:rPr>
              <w:t xml:space="preserve">, %(m/m), </w:t>
            </w:r>
            <w:r w:rsidRPr="009752CB">
              <w:rPr>
                <w:rFonts w:ascii="Arial" w:hAnsi="Arial" w:cs="Arial"/>
                <w:sz w:val="16"/>
              </w:rPr>
              <w:br/>
              <w:t>nie więcej niż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99" w:rsidRPr="009C4999" w:rsidRDefault="00634E9E" w:rsidP="00634E9E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9C4999" w:rsidRPr="009C4999" w:rsidRDefault="009C4999" w:rsidP="003922A3">
            <w:pPr>
              <w:pStyle w:val="Bezodstpw"/>
              <w:rPr>
                <w:rFonts w:ascii="Arial" w:hAnsi="Arial" w:cs="Arial"/>
                <w:sz w:val="16"/>
              </w:rPr>
            </w:pPr>
            <w:r w:rsidRPr="009C4999">
              <w:rPr>
                <w:rFonts w:ascii="Arial" w:hAnsi="Arial" w:cs="Arial"/>
                <w:sz w:val="16"/>
              </w:rPr>
              <w:t>PN</w:t>
            </w:r>
            <w:r w:rsidR="003922A3">
              <w:rPr>
                <w:rFonts w:ascii="Arial" w:hAnsi="Arial" w:cs="Arial"/>
                <w:sz w:val="16"/>
              </w:rPr>
              <w:t>-B-06714-28</w:t>
            </w:r>
          </w:p>
        </w:tc>
      </w:tr>
      <w:tr w:rsidR="009C4999" w:rsidRPr="009752CB" w:rsidTr="003922A3">
        <w:trPr>
          <w:trHeight w:val="1019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634E9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Pr="009752CB" w:rsidRDefault="009C4999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>Wskaźnik nośności w</w:t>
            </w:r>
            <w:r w:rsidRPr="009752CB">
              <w:rPr>
                <w:rFonts w:ascii="Arial" w:hAnsi="Arial" w:cs="Arial"/>
                <w:sz w:val="16"/>
                <w:vertAlign w:val="subscript"/>
              </w:rPr>
              <w:t>noś</w:t>
            </w:r>
            <w:r w:rsidRPr="009752CB">
              <w:rPr>
                <w:rFonts w:ascii="Arial" w:hAnsi="Arial" w:cs="Arial"/>
                <w:sz w:val="16"/>
              </w:rPr>
              <w:t xml:space="preserve"> mieszanki kruszywa, %, nie mniejszy niż:</w:t>
            </w:r>
          </w:p>
          <w:p w:rsidR="009C4999" w:rsidRPr="009752CB" w:rsidRDefault="009C4999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>a) przy zagęszczeniu I</w:t>
            </w:r>
            <w:r w:rsidRPr="009752CB">
              <w:rPr>
                <w:rFonts w:ascii="Arial" w:hAnsi="Arial" w:cs="Arial"/>
                <w:sz w:val="16"/>
                <w:vertAlign w:val="subscript"/>
              </w:rPr>
              <w:t>S</w:t>
            </w:r>
            <w:r w:rsidRPr="009752CB">
              <w:rPr>
                <w:rFonts w:ascii="Arial" w:hAnsi="Arial" w:cs="Arial"/>
                <w:sz w:val="16"/>
              </w:rPr>
              <w:t xml:space="preserve"> </w:t>
            </w:r>
            <w:r w:rsidRPr="009752CB">
              <w:rPr>
                <w:rFonts w:ascii="Arial" w:hAnsi="Arial" w:cs="Arial"/>
                <w:sz w:val="16"/>
              </w:rPr>
              <w:sym w:font="Symbol" w:char="00B3"/>
            </w:r>
            <w:r w:rsidRPr="009752CB">
              <w:rPr>
                <w:rFonts w:ascii="Arial" w:hAnsi="Arial" w:cs="Arial"/>
                <w:sz w:val="16"/>
              </w:rPr>
              <w:t xml:space="preserve"> 1,00</w:t>
            </w:r>
          </w:p>
          <w:p w:rsidR="009C4999" w:rsidRPr="009752CB" w:rsidRDefault="009C4999" w:rsidP="009752CB">
            <w:pPr>
              <w:pStyle w:val="Bezodstpw"/>
              <w:rPr>
                <w:rFonts w:ascii="Arial" w:hAnsi="Arial" w:cs="Arial"/>
                <w:sz w:val="16"/>
              </w:rPr>
            </w:pPr>
            <w:r w:rsidRPr="009752CB">
              <w:rPr>
                <w:rFonts w:ascii="Arial" w:hAnsi="Arial" w:cs="Arial"/>
                <w:sz w:val="16"/>
              </w:rPr>
              <w:t>b) przy zagęszczeniu I</w:t>
            </w:r>
            <w:r w:rsidRPr="009752CB">
              <w:rPr>
                <w:rFonts w:ascii="Arial" w:hAnsi="Arial" w:cs="Arial"/>
                <w:sz w:val="16"/>
                <w:vertAlign w:val="subscript"/>
              </w:rPr>
              <w:t>S</w:t>
            </w:r>
            <w:r w:rsidRPr="009752CB">
              <w:rPr>
                <w:rFonts w:ascii="Arial" w:hAnsi="Arial" w:cs="Arial"/>
                <w:sz w:val="16"/>
              </w:rPr>
              <w:t xml:space="preserve"> </w:t>
            </w:r>
            <w:r w:rsidRPr="009752CB">
              <w:rPr>
                <w:rFonts w:ascii="Arial" w:hAnsi="Arial" w:cs="Arial"/>
                <w:sz w:val="16"/>
              </w:rPr>
              <w:sym w:font="Symbol" w:char="00B3"/>
            </w:r>
            <w:r w:rsidRPr="009752CB">
              <w:rPr>
                <w:rFonts w:ascii="Arial" w:hAnsi="Arial" w:cs="Arial"/>
                <w:sz w:val="16"/>
              </w:rPr>
              <w:t xml:space="preserve"> 1,03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4999" w:rsidRDefault="009C4999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  <w:p w:rsidR="00634E9E" w:rsidRPr="009C4999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999" w:rsidRDefault="009C4999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  <w:p w:rsidR="00634E9E" w:rsidRPr="009C4999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999" w:rsidRDefault="009C4999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  <w:p w:rsidR="00634E9E" w:rsidRPr="009C4999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999" w:rsidRDefault="009C4999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  <w:p w:rsidR="00634E9E" w:rsidRPr="009C4999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999" w:rsidRDefault="009C4999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  <w:p w:rsidR="00634E9E" w:rsidRPr="009C4999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999" w:rsidRDefault="009C4999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634E9E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  <w:p w:rsidR="00634E9E" w:rsidRPr="009C4999" w:rsidRDefault="00634E9E" w:rsidP="003922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9C4999" w:rsidRPr="009C4999" w:rsidRDefault="009C4999" w:rsidP="009C4999">
            <w:pPr>
              <w:pStyle w:val="Bezodstpw"/>
              <w:rPr>
                <w:rFonts w:ascii="Arial" w:hAnsi="Arial" w:cs="Arial"/>
                <w:sz w:val="16"/>
              </w:rPr>
            </w:pPr>
          </w:p>
          <w:p w:rsidR="009C4999" w:rsidRPr="009C4999" w:rsidRDefault="009C4999" w:rsidP="009C4999">
            <w:pPr>
              <w:pStyle w:val="Bezodstpw"/>
              <w:rPr>
                <w:rFonts w:ascii="Arial" w:hAnsi="Arial" w:cs="Arial"/>
                <w:sz w:val="16"/>
              </w:rPr>
            </w:pPr>
          </w:p>
          <w:p w:rsidR="009C4999" w:rsidRPr="009C4999" w:rsidRDefault="003922A3" w:rsidP="009C4999">
            <w:pPr>
              <w:pStyle w:val="Bezodstpw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PN-S-06102</w:t>
            </w:r>
          </w:p>
        </w:tc>
      </w:tr>
    </w:tbl>
    <w:p w:rsidR="009752CB" w:rsidRPr="00B8514C" w:rsidRDefault="009752CB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2.3.3. </w:t>
      </w:r>
      <w:r w:rsidRPr="00B8514C">
        <w:rPr>
          <w:rFonts w:ascii="Arial" w:hAnsi="Arial" w:cs="Arial"/>
          <w:color w:val="000000"/>
          <w:sz w:val="16"/>
          <w:szCs w:val="16"/>
        </w:rPr>
        <w:t>Materiał na warstwę odsączającą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Na warstwę odsączającą stosuje się: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żwir i mieszankę wg PN-B-11111 [14],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piasek wg PN-B-11113 [16].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2.3.4. </w:t>
      </w:r>
      <w:r w:rsidRPr="00B8514C">
        <w:rPr>
          <w:rFonts w:ascii="Arial" w:hAnsi="Arial" w:cs="Arial"/>
          <w:color w:val="000000"/>
          <w:sz w:val="16"/>
          <w:szCs w:val="16"/>
        </w:rPr>
        <w:t>Materiał na warstwę odcinającą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Na warstwę odcinającą stosuje się: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piasek wg PN-B-11113 [16],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miał wg PN-B-11112 [15],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-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geowłókninę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o masie powierzchniowej powyżej 200 g/m wg aprobaty technicznej.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2.3.5. </w:t>
      </w:r>
      <w:r w:rsidRPr="00B8514C">
        <w:rPr>
          <w:rFonts w:ascii="Arial" w:hAnsi="Arial" w:cs="Arial"/>
          <w:color w:val="000000"/>
          <w:sz w:val="16"/>
          <w:szCs w:val="16"/>
        </w:rPr>
        <w:t>Materiały do ulepszania właściwości kruszyw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Do ulepszania właściwości kruszyw stosuje się: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cement portlandzki wg PN-B-19701 [17],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wapno wg PN-B-30020 [19],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popioły lotne wg PN-S-96035 [23],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żużel granulowany wg PN-B-23006 [18].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Dopuszcza się stosowanie innych spoiw pod warunkiem uzyskania równorzędnych efektów ulepszania kruszywa i po zaakceptowaniu przez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Inżyniera.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Rodzaj i ilość dodatku ulepszającego należy przyjmować zgodnie z PN-S-06102 [21].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2.3.6. </w:t>
      </w:r>
      <w:r w:rsidRPr="00B8514C">
        <w:rPr>
          <w:rFonts w:ascii="Arial" w:hAnsi="Arial" w:cs="Arial"/>
          <w:color w:val="000000"/>
          <w:sz w:val="16"/>
          <w:szCs w:val="16"/>
        </w:rPr>
        <w:t>Woda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Należy stosować wodę wg PN-B-32250 [20].</w:t>
      </w:r>
    </w:p>
    <w:p w:rsidR="00C85983" w:rsidRDefault="00C8598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3. SPRZĘT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3.1. Ogólne wymagania dotyczące sprzętu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Ogólne wymagania dotyczące sprzętu podano w SST D-M-00.00.00 „Wymagania ogólne”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3.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3.2. Sprzęt do wykonania robót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Wykonawca przystępujący do wykonania podbudowy z kruszyw stabilizowanych mechanicznie powinien wykazać się możliwością korzystania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z następującego sprzętu: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a) mieszarek do wytwarzania mieszanki, wyposażonych w urządzenia dozujące wodę. Mieszarki powinny zapewnić wytworzenie jednorodnej mieszanki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o wilgotności optymalnej,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b) równiarek albo układarek do rozkładania mieszanki,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c) walców ogumionych i stalowych wibracyjnych lub statycznych do zagęszczania. W miejscach trudno dostępnych powinny być stosowane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zagęszczarki płytowe, ubijaki mechaniczne lub małe walce wibracyjne.</w:t>
      </w:r>
    </w:p>
    <w:p w:rsidR="00C85983" w:rsidRDefault="00C8598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4. TRANSPORT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4.1. Ogólne wymagania dotyczące transportu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Ogólne wymagania dotyczące transportu podano w SST D-M-00.00.00 „Wymagania ogólne”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4.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4.2. Transport materiałów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Kruszywa można przewozić dowolnymi środkami transportu w warunkach zabezpieczających je przed zanieczyszczeniem, zmieszaniem z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innymi materiałami, nadmiernym wysuszeniem i zawilgoceniem.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Transport cementu powinien odbywać się zgodnie z BN-88/6731-08 [24].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Transport pozostałych materiałów powinien odbywać się zgodnie z wymaganiami norm przedmiotowych.</w:t>
      </w:r>
    </w:p>
    <w:p w:rsidR="00C85983" w:rsidRDefault="00C8598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5. WYKONANIE ROBÓT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5.1. Ogólne zasady wykonania robót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Ogólne zasady wykonania robót podano w SST D-M-00.00.00 „Wymagania ogólne”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5.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5.2. Przygotowanie podłoża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Podłoże pod podbudowę powinno spełniać wymagania określone w SST D-04.01.01 „Koryto wraz z profilowaniem i zagęszczeniem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podłoża” i SST D-02.00.00 „Roboty ziemne”.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Podbudowa powinna być ułożona na podłożu zapewniającym nieprzenikanie drobnych cząstek gruntu do podbudowy. Warunek</w:t>
      </w:r>
    </w:p>
    <w:p w:rsidR="00C85983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nieprzenikania należy sprawdzić wzorem:</w:t>
      </w:r>
    </w:p>
    <w:p w:rsidR="00C85983" w:rsidRPr="00C85983" w:rsidRDefault="00C85983" w:rsidP="00C85983"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noProof/>
          <w:vertAlign w:val="subscript"/>
          <w:lang w:eastAsia="pl-PL"/>
        </w:rPr>
        <w:drawing>
          <wp:inline distT="0" distB="0" distL="0" distR="0">
            <wp:extent cx="307340" cy="5264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sym w:font="Symbol" w:char="00A3"/>
      </w:r>
      <w:r>
        <w:t xml:space="preserve">  5</w:t>
      </w:r>
      <w:r>
        <w:tab/>
      </w:r>
      <w:r>
        <w:tab/>
        <w:t>(1)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w którym: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i/>
          <w:iCs/>
          <w:color w:val="000000"/>
          <w:sz w:val="16"/>
          <w:szCs w:val="16"/>
        </w:rPr>
        <w:t>D</w:t>
      </w:r>
      <w:r w:rsidRPr="00B8514C">
        <w:rPr>
          <w:rFonts w:ascii="Arial" w:hAnsi="Arial" w:cs="Arial"/>
          <w:color w:val="000000"/>
          <w:sz w:val="16"/>
          <w:szCs w:val="16"/>
        </w:rPr>
        <w:t xml:space="preserve">15 - wymiar boku oczka sita, przez które przechodzi 15%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ziarn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warstwy podbudowy lub warstwy odsączającej, w milimetrach,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i/>
          <w:iCs/>
          <w:color w:val="000000"/>
          <w:sz w:val="16"/>
          <w:szCs w:val="16"/>
        </w:rPr>
        <w:t>d</w:t>
      </w:r>
      <w:r w:rsidRPr="00B8514C">
        <w:rPr>
          <w:rFonts w:ascii="Arial" w:hAnsi="Arial" w:cs="Arial"/>
          <w:color w:val="000000"/>
          <w:sz w:val="16"/>
          <w:szCs w:val="16"/>
        </w:rPr>
        <w:t xml:space="preserve">85 - wymiar boku oczka sita, przez które przechodzi 85%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ziarn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gruntu podłoża, w milimetrach.</w:t>
      </w:r>
    </w:p>
    <w:p w:rsidR="00C85983" w:rsidRPr="00C85983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Jeżeli warunek (1) nie może być spełniony, należy na podłożu ułożyć warstwę odcinającą lub odpowiednio dobraną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geowłókninę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>. Ochronne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 xml:space="preserve">właściwości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geowłókniny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>, przeciw przenikaniu drobnych cząstek gruntu, wyznacza się z warunku:</w:t>
      </w:r>
    </w:p>
    <w:p w:rsidR="00C85983" w:rsidRPr="00C85983" w:rsidRDefault="00C85983" w:rsidP="00C85983">
      <w:pPr>
        <w:jc w:val="center"/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noProof/>
          <w:vertAlign w:val="subscript"/>
          <w:lang w:eastAsia="pl-PL"/>
        </w:rPr>
        <w:drawing>
          <wp:inline distT="0" distB="0" distL="0" distR="0">
            <wp:extent cx="292735" cy="5264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sym w:font="Symbol" w:char="00A3"/>
      </w:r>
      <w:r>
        <w:t xml:space="preserve">  1,2</w:t>
      </w:r>
      <w:r>
        <w:tab/>
      </w:r>
      <w:r>
        <w:tab/>
        <w:t>(2)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w którym: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i/>
          <w:iCs/>
          <w:color w:val="000000"/>
          <w:sz w:val="16"/>
          <w:szCs w:val="16"/>
        </w:rPr>
        <w:t>d</w:t>
      </w:r>
      <w:r w:rsidRPr="00B8514C">
        <w:rPr>
          <w:rFonts w:ascii="Arial" w:hAnsi="Arial" w:cs="Arial"/>
          <w:color w:val="000000"/>
          <w:sz w:val="16"/>
          <w:szCs w:val="16"/>
        </w:rPr>
        <w:t xml:space="preserve">50 - wymiar boku oczka sita, przez które przechodzi 50 %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ziarn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gruntu podłoża, w milimetrach,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i/>
          <w:iCs/>
          <w:color w:val="000000"/>
          <w:sz w:val="16"/>
          <w:szCs w:val="16"/>
        </w:rPr>
        <w:t>O</w:t>
      </w:r>
      <w:r w:rsidRPr="00B8514C">
        <w:rPr>
          <w:rFonts w:ascii="Arial" w:hAnsi="Arial" w:cs="Arial"/>
          <w:color w:val="000000"/>
          <w:sz w:val="16"/>
          <w:szCs w:val="16"/>
        </w:rPr>
        <w:t xml:space="preserve">90 - umowna średnica porów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geowłókniny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odpowiadająca wymiarom frakcji gruntu zatrzymująca się na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geowłókninie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w ilości 90% (m/m); wartość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 xml:space="preserve">parametru 090 powinna być podawana przez producenta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geowłókniny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>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Paliki lub szpilki do prawidłowego ukształtowania podbudowy powinny być wcześniej przygotowane.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Paliki lub szpilki powinny być ustawione w osi drogi i w rzędach równoległych do osi drogi, lub w inny sposób zaakceptowany przez Inżyniera.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Rozmieszczenie palików lub szpilek powinno umożliwiać naciągnięcie sznurków lub linek do wytyczenia robót w odstępach nie większych niż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co 10 m.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5.3. Wytwarzanie mieszanki kruszywa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Mieszankę kruszywa o ściśle określonym uziarnieniu i wilgotności optymalnej należy wytwarzać w mieszarkach gwarantujących otrzymanie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jednorodnej mieszanki. Ze względu na konieczność zapewnienia jednorodności nie dopuszcza się wytwarzania mieszanki przez mieszanie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poszczególnych frakcji na drodze. Mieszanka po wyprodukowaniu powinna być od razu transportowana na miejsce wbudowania w taki sposób, aby nie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uległa rozsegregowaniu i wysychaniu.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5.4. Wbudowywanie i zagęszczanie mieszanki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Mieszanka kruszywa powinna być rozkładana w warstwie o jednakowej grubości, takiej, aby jej ostateczna grubość po zagęszczeniu była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równa grubości projektowanej. Grubość pojedynczo układanej warstwy nie może przekraczać 20 cm po zagęszczeniu. Warstwa podbudowy powinna być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rozłożona w sposób zapewniający osiągnięcie wymaganych spadków i rzędnych wysokościowych. Jeżeli podbudowa składa się z więcej niż jednej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warstwy kruszywa, to każda warstwa powinna być wyprofilowana i zagęszczona z zachowaniem wymaganych spadków i rzędnych wysokościowych.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Rozpoczęcie budowy każdej następnej warstwy może nastąpić po odbiorze poprzedniej warstwy przez Inżyniera.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Wilgotność mieszanki kruszywa podczas zagęszczania powinna odpowiadać wilgotności optymalnej, określonej według próby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Proctora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>,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 xml:space="preserve">zgodnie z PN-B-04481 [1] (metoda II). Materiał nadmiernie nawilgocony, powinien zostać osuszony przez mieszanie i </w:t>
      </w:r>
      <w:r w:rsidRPr="00B8514C">
        <w:rPr>
          <w:rFonts w:ascii="Arial" w:hAnsi="Arial" w:cs="Arial"/>
          <w:color w:val="000000"/>
          <w:sz w:val="16"/>
          <w:szCs w:val="16"/>
        </w:rPr>
        <w:lastRenderedPageBreak/>
        <w:t>napowietrzanie. Jeżeli wilgotność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mieszanki kruszywa jest niższa od optymalnej o 20% jej wartości, mieszanka powinna być zwilżona określoną ilością wody i równomiernie wymieszana.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W przypadku, gdy wilgotność mieszanki kruszywa jest wyższa od optymalnej o 10% jej wartości, mieszankę należy osuszyć.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Wskaźnik zagęszczenia podbudowy wg BN-77/8931-12 [29] powinien odpowiadać przyjętemu poziomowi wskaźnika nośności podbudowy wg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tablicy 1, lp. 11.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5.5. Odcinek próbny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Jeżeli w SST przewidziano konieczność wykonania odcinka próbnego, to co najmniej na 3 dni przed rozpoczęciem robót, Wykonawca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powinien wykonać odcinek próbny w celu: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stwierdzenia czy sprzęt budowlany do mieszania, rozkładania i zagęszczania kruszywa jest właściwy,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określenia grubości warstwy materiału w stanie luźnym, koniecznej do uzyskania wymaganej grubości warstwy po zagęszczeniu,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określenia liczby przejść sprzętu zagęszczającego, potrzebnej do uzyskania wymaganego wskaźnika zagęszczenia.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Na odcinku próbnym Wykonawca powinien użyć takich materiałów oraz sprzętu do mieszania, rozkładania i zagęszczania, jakie będą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stosowane do wykonywania podbudowy.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Powierzchnia odcinka próbnego powinna wynosić od 400 do 800 m2.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Odcinek próbny powinien być zlokalizowany w miejscu wskazanym przez Inżyniera.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Wykonawca może przystąpić do wykonywania podbudowy po zaakceptowaniu odcinka próbnego przez Inżyniera.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5.6. Utrzymanie podbudowy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Podbudowa po wykonaniu, a przed ułożeniem następnej warstwy, powinna być utrzymywana w dobrym stanie. Jeżeli Wykonawca będzie</w:t>
      </w:r>
      <w:r w:rsidR="00C8598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wykorzystywał, za zgodą Inżyniera, gotową podbudowę do ruchu budowlanego, to jest obowiązany naprawić wszelkie uszkodzenia podbudowy,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spowodowane przez ten ruch. Koszt napraw wynikłych z niewłaściwego utrzymania podbudowy obciąża Wykonawcę robót.</w:t>
      </w:r>
    </w:p>
    <w:p w:rsidR="00C85983" w:rsidRDefault="00C8598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6. KONTROLA JAKOŚCI ROBÓT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6.1. Ogólne zasady kontroli jakości robót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Ogólne zasady kontroli jakości robót podano w SST D-M-00.00.00 „Wymagania ogólne”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6.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6.2. Badania przed przystąpieniem do robót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Przed przystąpieniem do robót Wykonawca powinien wykonać badania kruszyw przeznaczonych do wykonania robót i przedstawić wyniki</w:t>
      </w:r>
      <w:r w:rsidR="004609CA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 xml:space="preserve">tych badań Inżynierowi w celu akceptacji materiałów. Badania te powinny obejmować wszystkie właściwości określone w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2.3 niniejszej SST.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6.3. Badania w czasie robót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6.3.1. </w:t>
      </w:r>
      <w:r w:rsidRPr="00B8514C">
        <w:rPr>
          <w:rFonts w:ascii="Arial" w:hAnsi="Arial" w:cs="Arial"/>
          <w:color w:val="000000"/>
          <w:sz w:val="16"/>
          <w:szCs w:val="16"/>
        </w:rPr>
        <w:t>Częstotliwość oraz zakres badań i pomiarów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Częstotliwość oraz zakres badań podano w tablicy 2.</w:t>
      </w:r>
    </w:p>
    <w:p w:rsidR="00992D3B" w:rsidRDefault="00992D3B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Tablica 2. Częstotliwość ora zakres badań przy budowie podbudowy z kruszyw</w:t>
      </w:r>
      <w:r w:rsidR="00992D3B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stabilizowanych mechanicznie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394"/>
        <w:gridCol w:w="2020"/>
        <w:gridCol w:w="2091"/>
      </w:tblGrid>
      <w:tr w:rsidR="00992D3B" w:rsidTr="00992D3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>Częstotliwość badań</w:t>
            </w:r>
          </w:p>
        </w:tc>
      </w:tr>
      <w:tr w:rsidR="00992D3B" w:rsidTr="00992D3B">
        <w:tc>
          <w:tcPr>
            <w:tcW w:w="49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</w:p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</w:p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>Wyszczególnienie badań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>Minimalna liczba badań na dziennej działce roboczej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>Maksymalna powierzchnia podbudowy przy-padająca na jedno badanie (m</w:t>
            </w:r>
            <w:r w:rsidRPr="00992D3B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992D3B">
              <w:rPr>
                <w:rFonts w:ascii="Arial" w:hAnsi="Arial" w:cs="Arial"/>
                <w:sz w:val="16"/>
              </w:rPr>
              <w:t>)</w:t>
            </w:r>
          </w:p>
        </w:tc>
      </w:tr>
      <w:tr w:rsidR="00992D3B" w:rsidTr="00992D3B">
        <w:trPr>
          <w:cantSplit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 xml:space="preserve">Uziarnienie mieszanki </w:t>
            </w:r>
          </w:p>
        </w:tc>
        <w:tc>
          <w:tcPr>
            <w:tcW w:w="2020" w:type="dxa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992D3B" w:rsidRPr="00992D3B" w:rsidRDefault="00992D3B" w:rsidP="00992D3B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91" w:type="dxa"/>
            <w:vMerge w:val="restart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992D3B" w:rsidRPr="00992D3B" w:rsidRDefault="00992D3B" w:rsidP="00992D3B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>600</w:t>
            </w:r>
          </w:p>
        </w:tc>
      </w:tr>
      <w:tr w:rsidR="00992D3B" w:rsidTr="00992D3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 xml:space="preserve">Wilgotność mieszanki 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92D3B" w:rsidTr="00992D3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>Zagęszczenie warstwy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jc w:val="center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</w:rPr>
              <w:t>10 próbek na 10000 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</w:tr>
      <w:tr w:rsidR="00992D3B" w:rsidTr="00992D3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 xml:space="preserve">Badanie właściwości kruszywa wg tab. 1, </w:t>
            </w:r>
            <w:proofErr w:type="spellStart"/>
            <w:r w:rsidRPr="00992D3B">
              <w:rPr>
                <w:rFonts w:ascii="Arial" w:hAnsi="Arial" w:cs="Arial"/>
                <w:sz w:val="16"/>
              </w:rPr>
              <w:t>pkt</w:t>
            </w:r>
            <w:proofErr w:type="spellEnd"/>
            <w:r w:rsidRPr="00992D3B">
              <w:rPr>
                <w:rFonts w:ascii="Arial" w:hAnsi="Arial" w:cs="Arial"/>
                <w:sz w:val="16"/>
              </w:rPr>
              <w:t xml:space="preserve"> 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2D3B" w:rsidRPr="00992D3B" w:rsidRDefault="00992D3B" w:rsidP="00992D3B">
            <w:pPr>
              <w:pStyle w:val="Bezodstpw"/>
              <w:rPr>
                <w:rFonts w:ascii="Arial" w:hAnsi="Arial" w:cs="Arial"/>
                <w:sz w:val="16"/>
              </w:rPr>
            </w:pPr>
            <w:r w:rsidRPr="00992D3B">
              <w:rPr>
                <w:rFonts w:ascii="Arial" w:hAnsi="Arial" w:cs="Arial"/>
                <w:sz w:val="16"/>
              </w:rPr>
              <w:t>dla każdej partii kruszywa i przy każdej zmianie kruszywa</w:t>
            </w:r>
          </w:p>
        </w:tc>
      </w:tr>
    </w:tbl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6.3.2. </w:t>
      </w:r>
      <w:r w:rsidRPr="00B8514C">
        <w:rPr>
          <w:rFonts w:ascii="Arial" w:hAnsi="Arial" w:cs="Arial"/>
          <w:color w:val="000000"/>
          <w:sz w:val="16"/>
          <w:szCs w:val="16"/>
        </w:rPr>
        <w:t>Uziarnienie mieszanki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Uziarnienie mieszanki powinno być zgodne z wymaganiami podanymi w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2.3. Próbki należy pobierać w sposób losowy, z rozłożonej</w:t>
      </w:r>
      <w:r w:rsidR="00992D3B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warstwy, przed jej zagęszczeniem. Wyniki badań powinny być na bieżąco przekazywane Inżynierowi.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6.3.3. </w:t>
      </w:r>
      <w:r w:rsidRPr="00B8514C">
        <w:rPr>
          <w:rFonts w:ascii="Arial" w:hAnsi="Arial" w:cs="Arial"/>
          <w:color w:val="000000"/>
          <w:sz w:val="16"/>
          <w:szCs w:val="16"/>
        </w:rPr>
        <w:t>Wilgotność mieszanki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Wilgotność mieszanki powinna odpowiadać wilgotności optymalnej, określonej według próby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Proctora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>, zgodnie z PN-B-04481 [1] (metoda II),</w:t>
      </w:r>
      <w:r w:rsidR="00992D3B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z tolerancją +10% -20%.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Wilgotność należy określić według PN-B-06714-17 [5].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6.3.4. </w:t>
      </w:r>
      <w:r w:rsidRPr="00B8514C">
        <w:rPr>
          <w:rFonts w:ascii="Arial" w:hAnsi="Arial" w:cs="Arial"/>
          <w:color w:val="000000"/>
          <w:sz w:val="16"/>
          <w:szCs w:val="16"/>
        </w:rPr>
        <w:t>Zagęszczenie podbudowy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Zagęszczenie każdej warstwy powinno odbywać się aż do osiągnięcia wymaganego wskaźnika zagęszczenia.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Zagęszczenie podbudowy należy sprawdzać według BN-77/8931-12 [30]. W przypadku, gdy przeprowadzenie badania jest niemożliwe ze</w:t>
      </w:r>
      <w:r w:rsidR="00992D3B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względu na gruboziarniste kruszywo, kontrolę zagęszczenia należy oprzeć na metodzie obciążeń płytowych, wg BN-64/8931-02 [27] i nie rzadziej niż raz</w:t>
      </w:r>
      <w:r w:rsidR="00992D3B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na 5000 m2, lub według zaleceń Inżyniera.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Zagęszczenie podbudowy stabilizowanej mechanicznie należy uznać za prawidłowe, gdy stosunek wtórnego modułu </w:t>
      </w:r>
      <w:r w:rsidRPr="00B8514C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B8514C">
        <w:rPr>
          <w:rFonts w:ascii="Arial" w:hAnsi="Arial" w:cs="Arial"/>
          <w:color w:val="000000"/>
          <w:sz w:val="16"/>
          <w:szCs w:val="16"/>
        </w:rPr>
        <w:t>2 do pierwotnego</w:t>
      </w:r>
      <w:r w:rsidR="00992D3B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 xml:space="preserve">modułu odkształcenia </w:t>
      </w:r>
      <w:r w:rsidRPr="00B8514C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B8514C">
        <w:rPr>
          <w:rFonts w:ascii="Arial" w:hAnsi="Arial" w:cs="Arial"/>
          <w:color w:val="000000"/>
          <w:sz w:val="16"/>
          <w:szCs w:val="16"/>
        </w:rPr>
        <w:t>1 jest nie większy od 2,2 dla każdej warstwy konstrukcyjnej podbudowy.</w:t>
      </w:r>
    </w:p>
    <w:p w:rsidR="00992D3B" w:rsidRPr="00992D3B" w:rsidRDefault="00992D3B" w:rsidP="00992D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9710" cy="431800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sym w:font="Symbol" w:char="00A3"/>
      </w:r>
      <w:r>
        <w:t xml:space="preserve">   2,2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6.3.5. </w:t>
      </w:r>
      <w:r w:rsidRPr="00B8514C">
        <w:rPr>
          <w:rFonts w:ascii="Arial" w:hAnsi="Arial" w:cs="Arial"/>
          <w:color w:val="000000"/>
          <w:sz w:val="16"/>
          <w:szCs w:val="16"/>
        </w:rPr>
        <w:t>Właściwości kruszywa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Badania kruszywa powinny obejmować ocenę wszystkich właściwości określonych w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2.3.2.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Próbki do badań pełnych powinny być pobierane przez Wykonawcę w sposób losowy w obecności Inżyniera.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6.4. Wymagania dotyczące cech geometrycznych podbudowy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6.4.1. </w:t>
      </w:r>
      <w:r w:rsidRPr="00B8514C">
        <w:rPr>
          <w:rFonts w:ascii="Arial" w:hAnsi="Arial" w:cs="Arial"/>
          <w:color w:val="000000"/>
          <w:sz w:val="16"/>
          <w:szCs w:val="16"/>
        </w:rPr>
        <w:t>Częstotliwość oraz zakres pomiarów</w:t>
      </w:r>
    </w:p>
    <w:p w:rsidR="00E85871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Częstotliwość oraz zakres pomiarów dotyczących cech geometrycznych podbudowy podano w tablicy 3.</w:t>
      </w:r>
    </w:p>
    <w:p w:rsidR="00AB75A3" w:rsidRPr="00B8514C" w:rsidRDefault="00AB75A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5871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Tablica 3. Częstotliwość oraz zakres pomiarów wykonanej podbudowy z kruszywa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stabilizowanego mechanicznie</w:t>
      </w:r>
    </w:p>
    <w:p w:rsidR="00AB75A3" w:rsidRPr="00B8514C" w:rsidRDefault="00AB75A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B75A3" w:rsidRDefault="00AB75A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4193"/>
        <w:gridCol w:w="4395"/>
      </w:tblGrid>
      <w:tr w:rsidR="00AB75A3" w:rsidTr="007D3B5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lastRenderedPageBreak/>
              <w:t>Lp.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Wyszczególnienie badań i pomiarów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Minimalna częstotliwość pomiarów</w:t>
            </w:r>
          </w:p>
        </w:tc>
      </w:tr>
      <w:tr w:rsidR="00AB75A3" w:rsidTr="007D3B5C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 xml:space="preserve">Szerokość podbudowy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10 razy na 1 km</w:t>
            </w:r>
          </w:p>
        </w:tc>
      </w:tr>
      <w:tr w:rsidR="00AB75A3" w:rsidTr="007D3B5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Równość podłużna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 xml:space="preserve">w sposób ciągły </w:t>
            </w:r>
            <w:proofErr w:type="spellStart"/>
            <w:r w:rsidRPr="00AB75A3">
              <w:rPr>
                <w:rFonts w:ascii="Arial" w:hAnsi="Arial" w:cs="Arial"/>
                <w:sz w:val="16"/>
              </w:rPr>
              <w:t>planografem</w:t>
            </w:r>
            <w:proofErr w:type="spellEnd"/>
            <w:r w:rsidRPr="00AB75A3">
              <w:rPr>
                <w:rFonts w:ascii="Arial" w:hAnsi="Arial" w:cs="Arial"/>
                <w:sz w:val="16"/>
              </w:rPr>
              <w:t xml:space="preserve"> albo co 20 m łatą na każdym pasie ruchu</w:t>
            </w:r>
          </w:p>
        </w:tc>
      </w:tr>
      <w:tr w:rsidR="00AB75A3" w:rsidTr="007D3B5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Równość poprzeczna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10 razy na 1 km</w:t>
            </w:r>
          </w:p>
        </w:tc>
      </w:tr>
      <w:tr w:rsidR="00AB75A3" w:rsidTr="007D3B5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Spadki poprzeczne*)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10 razy na 1 km</w:t>
            </w:r>
          </w:p>
        </w:tc>
      </w:tr>
      <w:tr w:rsidR="00AB75A3" w:rsidTr="007D3B5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Rzędne wysokościowe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co 100 m</w:t>
            </w:r>
          </w:p>
        </w:tc>
      </w:tr>
      <w:tr w:rsidR="00AB75A3" w:rsidTr="007D3B5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Ukształtowanie osi w planie*)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co 100 m</w:t>
            </w:r>
          </w:p>
        </w:tc>
      </w:tr>
      <w:tr w:rsidR="00AB75A3" w:rsidTr="007D3B5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 xml:space="preserve">Grubość podbudowy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Podczas budowy:</w:t>
            </w:r>
          </w:p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w 3 punktach na każdej działce roboczej, lecz nie rzadziej niż raz na 400 m</w:t>
            </w:r>
            <w:r w:rsidRPr="00AB75A3">
              <w:rPr>
                <w:rFonts w:ascii="Arial" w:hAnsi="Arial" w:cs="Arial"/>
                <w:sz w:val="16"/>
                <w:vertAlign w:val="superscript"/>
              </w:rPr>
              <w:t>2</w:t>
            </w:r>
          </w:p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Przed odbiorem:</w:t>
            </w:r>
          </w:p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w 3 punktach, lecz nie rzadziej niż raz na 2000 m</w:t>
            </w:r>
            <w:r w:rsidRPr="00AB75A3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</w:tr>
      <w:tr w:rsidR="00AB75A3" w:rsidTr="007D3B5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Nośność podbudowy:</w:t>
            </w:r>
          </w:p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- moduł odkształcenia</w:t>
            </w:r>
          </w:p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- ugięcie sprężyste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 </w:t>
            </w:r>
          </w:p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co najmniej w dwóch przekrojach na każde 1000 m</w:t>
            </w:r>
          </w:p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co najmniej w 20 punktach na każde 1000 m</w:t>
            </w:r>
          </w:p>
        </w:tc>
      </w:tr>
    </w:tbl>
    <w:p w:rsidR="00E85871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*) Dodatkowe pomiary spadków poprzecznych i ukształtowania osi w planie należy wykonać w punktach głównych łuków poziomych.</w:t>
      </w:r>
    </w:p>
    <w:p w:rsidR="00AB75A3" w:rsidRPr="00B8514C" w:rsidRDefault="00AB75A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6.4.2. </w:t>
      </w:r>
      <w:r w:rsidRPr="00B8514C">
        <w:rPr>
          <w:rFonts w:ascii="Arial" w:hAnsi="Arial" w:cs="Arial"/>
          <w:color w:val="000000"/>
          <w:sz w:val="16"/>
          <w:szCs w:val="16"/>
        </w:rPr>
        <w:t>Szerokość podbudowy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Szerokość podbudowy nie może różnić się od szerokości projektowanej o więcej niż +10 cm, -5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cm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>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Na jezdniach bez krawężników szerokość podbudowy powinna być większa od szerokości warstwy wyżej leżącej o co najmniej 25 cm lub o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wartość wskazaną w dokumentacji projektowej.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6.4.3. </w:t>
      </w:r>
      <w:r w:rsidRPr="00B8514C">
        <w:rPr>
          <w:rFonts w:ascii="Arial" w:hAnsi="Arial" w:cs="Arial"/>
          <w:color w:val="000000"/>
          <w:sz w:val="16"/>
          <w:szCs w:val="16"/>
        </w:rPr>
        <w:t>Równość podbudowy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Nierówności podłużne podbudowy należy mierzyć 4-metrową łatą lub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planografem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>, zgodnie z BN-68/8931-04 [28].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Nierówności poprzeczne podbudowy należy mierzyć 4-metrową łatą.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Nierówności podbudowy nie mogą przekraczać: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- 10 mm dla podbudowy zasadniczej,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- 20 mm dla podbudowy pomocniczej.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6.4.4. </w:t>
      </w:r>
      <w:r w:rsidRPr="00B8514C">
        <w:rPr>
          <w:rFonts w:ascii="Arial" w:hAnsi="Arial" w:cs="Arial"/>
          <w:color w:val="000000"/>
          <w:sz w:val="16"/>
          <w:szCs w:val="16"/>
        </w:rPr>
        <w:t>Spadki poprzeczne podbudowy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Spadki poprzeczne podbudowy na prostych i łukach powinny być zgodne z dokumentacją projektową, z tolerancją ± 0,5 %.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6.4.5. </w:t>
      </w:r>
      <w:r w:rsidRPr="00B8514C">
        <w:rPr>
          <w:rFonts w:ascii="Arial" w:hAnsi="Arial" w:cs="Arial"/>
          <w:color w:val="000000"/>
          <w:sz w:val="16"/>
          <w:szCs w:val="16"/>
        </w:rPr>
        <w:t>Rzędne wysokościowe podbudowy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Różnice pomiędzy rzędnymi wysokościowymi podbudowy i rzędnymi projektowanymi nie powinny przekraczać + 1 cm, -2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cm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>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6.4.6. </w:t>
      </w:r>
      <w:r w:rsidRPr="00B8514C">
        <w:rPr>
          <w:rFonts w:ascii="Arial" w:hAnsi="Arial" w:cs="Arial"/>
          <w:color w:val="000000"/>
          <w:sz w:val="16"/>
          <w:szCs w:val="16"/>
        </w:rPr>
        <w:t>Ukształtowanie osi podbudowy i ulepszonego podłoża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Oś podbudowy w planie nie może być przesunięta w stosunku do osi projektowanej o więcej niż ± 5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cm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>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6.4.7. </w:t>
      </w:r>
      <w:r w:rsidRPr="00B8514C">
        <w:rPr>
          <w:rFonts w:ascii="Arial" w:hAnsi="Arial" w:cs="Arial"/>
          <w:color w:val="000000"/>
          <w:sz w:val="16"/>
          <w:szCs w:val="16"/>
        </w:rPr>
        <w:t>Grubość podbudowy i ulepszonego podłoża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Grubość podbudowy nie może się różnić od grubości projektowanej o więcej niż: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dla podbudowy zasadniczej ± 10%,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dla podbudowy pomocniczej +10%, -15%.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6.4.8. </w:t>
      </w:r>
      <w:r w:rsidRPr="00B8514C">
        <w:rPr>
          <w:rFonts w:ascii="Arial" w:hAnsi="Arial" w:cs="Arial"/>
          <w:color w:val="000000"/>
          <w:sz w:val="16"/>
          <w:szCs w:val="16"/>
        </w:rPr>
        <w:t>Nośność podbudowy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moduł odkształcenia wg BN-64/8931-02 [27] powinien być zgodny z podanym w tablicy 4,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- ugięcie sprężyste wg BN-70/8931-06 [29] powinno być zgodne z podanym w tablicy 4.</w:t>
      </w:r>
    </w:p>
    <w:p w:rsidR="00AB75A3" w:rsidRDefault="00AB75A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5871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Tablica 4. Cechy podbudowy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7"/>
        <w:gridCol w:w="1224"/>
        <w:gridCol w:w="1206"/>
        <w:gridCol w:w="2004"/>
        <w:gridCol w:w="1896"/>
        <w:gridCol w:w="1725"/>
      </w:tblGrid>
      <w:tr w:rsidR="00AB75A3" w:rsidTr="007D3B5C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</w:tcPr>
          <w:p w:rsidR="00AB75A3" w:rsidRPr="00AB75A3" w:rsidRDefault="00AB75A3" w:rsidP="00AB75A3">
            <w:pPr>
              <w:pStyle w:val="Bezodstpw"/>
              <w:rPr>
                <w:rFonts w:ascii="Arial" w:hAnsi="Arial" w:cs="Arial"/>
                <w:sz w:val="16"/>
              </w:rPr>
            </w:pPr>
          </w:p>
        </w:tc>
        <w:tc>
          <w:tcPr>
            <w:tcW w:w="8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Wymagane cechy podbudowy</w:t>
            </w:r>
          </w:p>
        </w:tc>
      </w:tr>
      <w:tr w:rsidR="00AB75A3" w:rsidTr="007D3B5C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Podbudowa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z kruszywa o wskaźniku wnoś nie mniejszym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Wskaźnik zagęszczenia I</w:t>
            </w:r>
            <w:r>
              <w:rPr>
                <w:rFonts w:ascii="Arial" w:hAnsi="Arial" w:cs="Arial"/>
                <w:sz w:val="16"/>
                <w:vertAlign w:val="subscript"/>
              </w:rPr>
              <w:t>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 w:rsidRPr="00AB75A3">
              <w:rPr>
                <w:rFonts w:ascii="Arial" w:hAnsi="Arial" w:cs="Arial"/>
                <w:sz w:val="16"/>
              </w:rPr>
              <w:t xml:space="preserve"> nie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mniejszy niż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Maksymalne ugięcie sprężyste pod kołem, mm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 xml:space="preserve">Minimalny moduł </w:t>
            </w:r>
            <w:proofErr w:type="spellStart"/>
            <w:r w:rsidRPr="00AB75A3">
              <w:rPr>
                <w:rFonts w:ascii="Arial" w:hAnsi="Arial" w:cs="Arial"/>
                <w:sz w:val="16"/>
              </w:rPr>
              <w:t>odkształ-cenia</w:t>
            </w:r>
            <w:proofErr w:type="spellEnd"/>
            <w:r w:rsidRPr="00AB75A3">
              <w:rPr>
                <w:rFonts w:ascii="Arial" w:hAnsi="Arial" w:cs="Arial"/>
                <w:sz w:val="16"/>
              </w:rPr>
              <w:t xml:space="preserve"> mierzony płytą o średnicy 30 cm, </w:t>
            </w:r>
            <w:proofErr w:type="spellStart"/>
            <w:r w:rsidRPr="00AB75A3">
              <w:rPr>
                <w:rFonts w:ascii="Arial" w:hAnsi="Arial" w:cs="Arial"/>
                <w:sz w:val="16"/>
              </w:rPr>
              <w:t>MPa</w:t>
            </w:r>
            <w:proofErr w:type="spellEnd"/>
          </w:p>
        </w:tc>
      </w:tr>
      <w:tr w:rsidR="00AB75A3" w:rsidTr="007D3B5C">
        <w:tc>
          <w:tcPr>
            <w:tcW w:w="120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niż,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 xml:space="preserve">40 </w:t>
            </w:r>
            <w:proofErr w:type="spellStart"/>
            <w:r w:rsidRPr="00AB75A3">
              <w:rPr>
                <w:rFonts w:ascii="Arial" w:hAnsi="Arial" w:cs="Arial"/>
                <w:sz w:val="16"/>
              </w:rPr>
              <w:t>kN</w:t>
            </w:r>
            <w:proofErr w:type="spellEnd"/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 xml:space="preserve">50 </w:t>
            </w:r>
            <w:proofErr w:type="spellStart"/>
            <w:r w:rsidRPr="00AB75A3">
              <w:rPr>
                <w:rFonts w:ascii="Arial" w:hAnsi="Arial" w:cs="Arial"/>
                <w:sz w:val="16"/>
              </w:rPr>
              <w:t>kN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  <w:vertAlign w:val="subscript"/>
              </w:rPr>
            </w:pPr>
            <w:r>
              <w:rPr>
                <w:rFonts w:ascii="Arial" w:hAnsi="Arial" w:cs="Arial"/>
                <w:sz w:val="16"/>
              </w:rPr>
              <w:t>od pierwszego obciążenia E</w:t>
            </w:r>
            <w:r>
              <w:rPr>
                <w:rFonts w:ascii="Arial" w:hAnsi="Arial" w:cs="Arial"/>
                <w:sz w:val="16"/>
                <w:vertAlign w:val="subscript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  <w:vertAlign w:val="subscript"/>
              </w:rPr>
            </w:pPr>
            <w:r>
              <w:rPr>
                <w:rFonts w:ascii="Arial" w:hAnsi="Arial" w:cs="Arial"/>
                <w:sz w:val="16"/>
              </w:rPr>
              <w:t>od drugiego obciążenia E</w:t>
            </w:r>
            <w:r>
              <w:rPr>
                <w:rFonts w:ascii="Arial" w:hAnsi="Arial" w:cs="Arial"/>
                <w:sz w:val="16"/>
                <w:vertAlign w:val="subscript"/>
              </w:rPr>
              <w:t>2</w:t>
            </w:r>
          </w:p>
        </w:tc>
      </w:tr>
      <w:tr w:rsidR="00AB75A3" w:rsidTr="007D3B5C"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60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80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1,0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1,0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1,03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1,40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1,25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1,10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1,60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1,40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1,20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60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80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120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140</w:t>
            </w:r>
          </w:p>
          <w:p w:rsidR="00AB75A3" w:rsidRPr="00AB75A3" w:rsidRDefault="00AB75A3" w:rsidP="00AB75A3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B75A3">
              <w:rPr>
                <w:rFonts w:ascii="Arial" w:hAnsi="Arial" w:cs="Arial"/>
                <w:sz w:val="16"/>
              </w:rPr>
              <w:t>180</w:t>
            </w:r>
          </w:p>
        </w:tc>
      </w:tr>
    </w:tbl>
    <w:p w:rsidR="00AB75A3" w:rsidRPr="00B8514C" w:rsidRDefault="00AB75A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6.5. Zasady postępowania z wadliwie wykonanymi odcinkami podbudowy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6.5.1. </w:t>
      </w:r>
      <w:r w:rsidRPr="00B8514C">
        <w:rPr>
          <w:rFonts w:ascii="Arial" w:hAnsi="Arial" w:cs="Arial"/>
          <w:color w:val="000000"/>
          <w:sz w:val="16"/>
          <w:szCs w:val="16"/>
        </w:rPr>
        <w:t>Niewłaściwe cechy geometryczne podbudowy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Wszystkie powierzchnie podbudowy, które wykazują większe odchylenia od określonych w punkcie 6.4 powinny być naprawione przez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spulchnienie lub zerwanie do głębokości co najmniej 10 cm, wyrównane i powtórnie zagęszczone. Dodanie nowego materiału bez spulchnienia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wykonanej warstwy jest niedopuszczalne.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Jeżeli szerokość podbudowy jest mniejsza od szerokości projektowanej o więcej niż 5 cm i nie zapewnia podparcia warstwom wyżej leżącym,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to Wykonawca powinien na własny koszt poszerzyć podbudowę przez spulchnienie warstwy na pełną grubość do połowy szerokości pasa ruchu,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dołożenie materiału i powtórne zagęszczenie.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6.5.2. </w:t>
      </w:r>
      <w:r w:rsidRPr="00B8514C">
        <w:rPr>
          <w:rFonts w:ascii="Arial" w:hAnsi="Arial" w:cs="Arial"/>
          <w:color w:val="000000"/>
          <w:sz w:val="16"/>
          <w:szCs w:val="16"/>
        </w:rPr>
        <w:t>Niewłaściwa grubość podbudowy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Na wszystkich powierzchniach wadliwych pod względem grubości, Wykonawca wykona naprawę podbudowy. Powierzchnie powinny być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naprawione przez spulchnienie lub wybranie warstwy na odpowiednią głębokość, zgodnie z decyzją Inżyniera, uzupełnione nowym materiałem o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odpowiednich właściwościach, wyrównane i ponownie zagęszczone.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Roboty te Wykonawca wykona na własny koszt. Po wykonaniu tych robót nastąpi ponowny pomiar i ocena grubości warstwy, według wyżej podanych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zasad, na koszt Wykonawcy.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 xml:space="preserve">6.5.3. </w:t>
      </w:r>
      <w:r w:rsidRPr="00B8514C">
        <w:rPr>
          <w:rFonts w:ascii="Arial" w:hAnsi="Arial" w:cs="Arial"/>
          <w:color w:val="000000"/>
          <w:sz w:val="16"/>
          <w:szCs w:val="16"/>
        </w:rPr>
        <w:t>Niewłaściwa nośność podbudowy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Jeżeli nośność podbudowy będzie mniejsza od wymaganej, to Wykonawca wykona wszelkie roboty niezbędne do zapewnienia wymaganej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nośności, zalecone przez Inżyniera.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lastRenderedPageBreak/>
        <w:t>Koszty tych dodatkowych robót poniesie Wykonawca podbudowy tylko wtedy, gdy zaniżenie nośności podbudowy wynikło z niewłaściwego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wykonania robót przez Wykonawcę podbudowy.</w:t>
      </w:r>
    </w:p>
    <w:p w:rsidR="00AB75A3" w:rsidRDefault="00AB75A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7. OBMIAR ROBÓT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7.1. Ogólne zasady obmiaru robót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Ogólne zasady obmiaru robót podano w SST D-M-00.00.00 „Wymagania ogólne”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7.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7.2. Jednostka obmiarowa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Jednostką obmiarową jest m2 (metr kwadratowy) podbudowy z kruszywa stabilizowanego mechanicznie.</w:t>
      </w:r>
    </w:p>
    <w:p w:rsidR="00AB75A3" w:rsidRDefault="00AB75A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8. ODBIÓR ROBÓT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Ogólne zasady odbioru robót podano w SST D-M-00.00.00 „Wymagania ogólne”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8.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Roboty uznaje się za zgodne z dokumentacją projektową, SST i wymaganiami Inżyniera, jeżeli wszystkie pomiary i badania z zachowaniem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tolerancji wg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6 dały wyniki pozytywne.</w:t>
      </w:r>
    </w:p>
    <w:p w:rsidR="00AB75A3" w:rsidRDefault="00AB75A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9. PODSTAWA PŁATNOŚCI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9.1. Ogólne ustalenia dotyczące podstawy płatności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Ogólne ustalenia dotyczące podstawy płatności podano w SST D-M-00.00.00 „Wymagania ogólne”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pkt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9.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9.2. Cena jednostki obmiarowej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Zakres czynności objętych ceną jednostkową 1 m2 podbudowy z kruszywa stabilizowanego mechanicznie, podano w SST: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D-04.04.01 Podbudowa z kruszywa naturalnego stabilizowanego mechanicznie,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D-04.04.02 Podbudowa z kruszywa łamanego stabilizowanego mechanicznie,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D-04.04.03 Podbudowa z żużla wielkopiecowego stabilizowanego mechanicznie.</w:t>
      </w:r>
    </w:p>
    <w:p w:rsidR="00AB75A3" w:rsidRDefault="00AB75A3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10. PRZEPISY ZWIĄZANE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10.1. Normy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1. PN-B-04481 Grunty budowlane. Badania próbek gruntu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2. PN-B-06714-12 Kruszywa mineralne. Badania. Oznaczanie zawartości zanieczyszczeń obcych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3. PN-B-06714-15 Kruszywa mineralne. Badania. Oznaczanie składu ziarnowego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4. PN-B-06714-16 Kruszywa mineralne. Badania. Oznaczanie kształtu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ziarn</w:t>
      </w:r>
      <w:proofErr w:type="spellEnd"/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5. PN-B-06714-17 Kruszywa mineralne. Badania. Oznaczanie wilgotności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6. PN-B-06714-18 Kruszywa mineralne. Badania. Oznaczanie nasiąkliwości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7. PN-B-06714-19 Kruszywa mineralne. Badania. Oznaczanie mrozoodporności metodą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bezpośrednią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8. PN-B-06714-26 Kruszywa mineralne. Badania. Oznaczanie zawartości zanieczyszczeń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organicznych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9. PN-B-06714-28 Kruszywa mineralne. Badania. Oznaczanie zawartości siarki metodą bromową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10. PN-B-06714-37 Kruszywa mineralne. Badania. Oznaczanie rozpadu krzemianowego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11. PN-B-06714-39 Kruszywa mineralne. Badania. Oznaczanie rozpadu żelazawego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12. PN-B-06714-42 Kruszywa mineralne. Badania. Oznaczanie ścieralności w bębnie Los Angeles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13. PN-B-06731 Żużel wielkopiecowy kawałkowy. Kruszywo budowlane i drogowe. Badania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techniczne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14. PN-B-11111 Kruszywa mineralne. Kruszywa naturalne do nawierzchni drogowych. Żwir i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mieszanka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15. PN-B-11112 Kruszywa mineralne. Kruszywa łamane do nawierzchni drogowych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16. PN-B-11113 Kruszywa mineralne. Kruszywa naturalne do nawierzchni drogowych. Piasek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17. PN-B-19701 Cement. Cement powszechnego użytku. Skład, wymagania i ocena zgodności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18. PN-B-23006 Kruszywo do betonu lekkiego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19. PN-B-30020 Wapno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20. PN-B-32250 Materiały budowlane. Woda do betonu i zapraw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21. PN-S-06102 Drogi samochodowe. Podbudowy z kruszyw stabilizowanych mechanicznie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22. PN-S-96023 Konstrukcje drogowe. Podbudowa i nawierzchnia z tłucznia kamiennego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23. PN-S-96035 Popioły lotne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24. BN-88/6731-08 Cement. Transport i przechowywanie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25. BN-84/6774-02 Kruszywo mineralne. Kruszywo kamienne łamane do nawierzchni drogowych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26. BN-64/8931-01 Drogi samochodowe. Oznaczanie wskaźnika piaskowego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27. BN-64/8931-02 Drogi samochodowe. Oznaczanie modułu odkształcenia nawierzchni podatnych i</w:t>
      </w:r>
      <w:r w:rsidR="00AB7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514C">
        <w:rPr>
          <w:rFonts w:ascii="Arial" w:hAnsi="Arial" w:cs="Arial"/>
          <w:color w:val="000000"/>
          <w:sz w:val="16"/>
          <w:szCs w:val="16"/>
        </w:rPr>
        <w:t>podłoża przez obciążenie płytą</w:t>
      </w:r>
      <w:r w:rsidR="00AB75A3">
        <w:rPr>
          <w:rFonts w:ascii="Arial" w:hAnsi="Arial" w:cs="Arial"/>
          <w:color w:val="000000"/>
          <w:sz w:val="16"/>
          <w:szCs w:val="16"/>
        </w:rPr>
        <w:t>.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28. BN-68/8931-04 Drogi samochodowe. Pomiar równości nawierzchni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planografem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i łatą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29. BN-70/8931-06 Drogi samochodowe. Pomiar ugięć podatnych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ugięciomierzem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belkowym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>30. BN-77/8931-12 Oznaczanie wskaźnika zagęszczenia gruntu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514C">
        <w:rPr>
          <w:rFonts w:ascii="Arial" w:hAnsi="Arial" w:cs="Arial"/>
          <w:b/>
          <w:bCs/>
          <w:color w:val="000000"/>
          <w:sz w:val="16"/>
          <w:szCs w:val="16"/>
        </w:rPr>
        <w:t>10.2. Inne dokumenty</w:t>
      </w:r>
    </w:p>
    <w:p w:rsidR="00E85871" w:rsidRPr="00B8514C" w:rsidRDefault="00E85871" w:rsidP="00E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8514C">
        <w:rPr>
          <w:rFonts w:ascii="Arial" w:hAnsi="Arial" w:cs="Arial"/>
          <w:color w:val="000000"/>
          <w:sz w:val="16"/>
          <w:szCs w:val="16"/>
        </w:rPr>
        <w:t xml:space="preserve">Katalog typowych konstrukcji nawierzchni podatnych i półsztywnych, </w:t>
      </w:r>
      <w:proofErr w:type="spellStart"/>
      <w:r w:rsidRPr="00B8514C">
        <w:rPr>
          <w:rFonts w:ascii="Arial" w:hAnsi="Arial" w:cs="Arial"/>
          <w:color w:val="000000"/>
          <w:sz w:val="16"/>
          <w:szCs w:val="16"/>
        </w:rPr>
        <w:t>IBDiM</w:t>
      </w:r>
      <w:proofErr w:type="spellEnd"/>
      <w:r w:rsidRPr="00B8514C">
        <w:rPr>
          <w:rFonts w:ascii="Arial" w:hAnsi="Arial" w:cs="Arial"/>
          <w:color w:val="000000"/>
          <w:sz w:val="16"/>
          <w:szCs w:val="16"/>
        </w:rPr>
        <w:t xml:space="preserve"> - Warszawa 1997.</w:t>
      </w:r>
    </w:p>
    <w:p w:rsidR="00F711CB" w:rsidRDefault="00F711CB"/>
    <w:sectPr w:rsidR="00F711CB" w:rsidSect="00F7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5871"/>
    <w:rsid w:val="003922A3"/>
    <w:rsid w:val="004609CA"/>
    <w:rsid w:val="00634E9E"/>
    <w:rsid w:val="00681CF9"/>
    <w:rsid w:val="008E77A1"/>
    <w:rsid w:val="009752CB"/>
    <w:rsid w:val="00992D3B"/>
    <w:rsid w:val="009C4999"/>
    <w:rsid w:val="00AB75A3"/>
    <w:rsid w:val="00C85983"/>
    <w:rsid w:val="00E85871"/>
    <w:rsid w:val="00F7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8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2C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9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3189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kapuscinskir</dc:creator>
  <cp:lastModifiedBy>Artur Rybicki</cp:lastModifiedBy>
  <cp:revision>4</cp:revision>
  <dcterms:created xsi:type="dcterms:W3CDTF">2016-01-25T09:19:00Z</dcterms:created>
  <dcterms:modified xsi:type="dcterms:W3CDTF">2016-01-25T13:15:00Z</dcterms:modified>
</cp:coreProperties>
</file>